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8A" w:rsidRDefault="002F3368" w:rsidP="00B74344">
      <w:pPr>
        <w:tabs>
          <w:tab w:val="left" w:pos="11910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6975475</wp:posOffset>
            </wp:positionH>
            <wp:positionV relativeFrom="paragraph">
              <wp:posOffset>-606425</wp:posOffset>
            </wp:positionV>
            <wp:extent cx="799465" cy="938530"/>
            <wp:effectExtent l="0" t="0" r="63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7" t="12465" r="13686" b="14677"/>
                    <a:stretch/>
                  </pic:blipFill>
                  <pic:spPr>
                    <a:xfrm>
                      <a:off x="0" y="0"/>
                      <a:ext cx="7994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3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8598535</wp:posOffset>
                </wp:positionH>
                <wp:positionV relativeFrom="paragraph">
                  <wp:posOffset>-511175</wp:posOffset>
                </wp:positionV>
                <wp:extent cx="993775" cy="414655"/>
                <wp:effectExtent l="0" t="3175" r="0" b="12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E88" w:rsidRDefault="009033D5">
                            <w: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77.05pt;margin-top:-40.25pt;width:78.25pt;height:3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" stroked="f">
                <v:textbox style="mso-fit-shape-to-text:t">
                  <w:txbxContent>
                    <w:p w:rsidR="00FA7E88" w:rsidRDefault="009033D5">
                      <w:r>
                        <w:t>Załącznik nr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1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-317500</wp:posOffset>
                </wp:positionV>
                <wp:extent cx="4319905" cy="431800"/>
                <wp:effectExtent l="2540" t="3175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481" w:rsidRDefault="00402481" w:rsidP="004024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402481" w:rsidRDefault="00402481" w:rsidP="004024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05.95pt;margin-top:-25pt;width:340.1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" filled="f" stroked="f">
                <v:textbox inset="0,0,0,0">
                  <w:txbxContent>
                    <w:p w:rsidR="00402481" w:rsidRDefault="00402481" w:rsidP="004024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402481" w:rsidRDefault="00402481" w:rsidP="004024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313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-295275</wp:posOffset>
            </wp:positionV>
            <wp:extent cx="1365250" cy="1257300"/>
            <wp:effectExtent l="0" t="0" r="0" b="0"/>
            <wp:wrapNone/>
            <wp:docPr id="4" name="Obraz 4" descr="Header czy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 czys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44">
        <w:tab/>
      </w:r>
    </w:p>
    <w:tbl>
      <w:tblPr>
        <w:tblpPr w:leftFromText="141" w:rightFromText="141" w:vertAnchor="text" w:tblpY="1"/>
        <w:tblOverlap w:val="never"/>
        <w:tblW w:w="52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821"/>
        <w:gridCol w:w="7001"/>
        <w:gridCol w:w="6066"/>
      </w:tblGrid>
      <w:tr w:rsidR="00402481" w:rsidRPr="00402481" w:rsidTr="00D469EA">
        <w:trPr>
          <w:trHeight w:val="81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74880" w:rsidRDefault="00FA7E88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KARTA OCENY</w:t>
            </w:r>
            <w:r w:rsidR="00E810D7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</w:t>
            </w:r>
            <w:r w:rsidR="00F30AB4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„</w:t>
            </w:r>
            <w:r w:rsidR="00E810D7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PROGRAMU ROZWOJU</w:t>
            </w:r>
            <w:r w:rsidR="00D74880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SEKTORA</w:t>
            </w:r>
            <w:r w:rsidR="00F30AB4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”</w:t>
            </w:r>
            <w:r w:rsidR="00E810D7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</w:t>
            </w:r>
          </w:p>
          <w:p w:rsidR="00402481" w:rsidRDefault="00D74880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W PROCESIE IDENTYFIKACJI </w:t>
            </w:r>
            <w:r w:rsidR="00295A4F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INTELIGENTNE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YCH</w:t>
            </w:r>
            <w:r w:rsidR="00295A4F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SPECJALIZACJI </w:t>
            </w:r>
            <w:r w:rsidR="009E4E41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(IS) </w:t>
            </w:r>
            <w:r w:rsidR="00295A4F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WOJEWÓDZTWA WARMIŃSKO-MAZURSKIEGO</w:t>
            </w:r>
            <w:r w:rsidR="00E810D7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</w:t>
            </w:r>
          </w:p>
          <w:p w:rsidR="00D74880" w:rsidRDefault="00D74880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74880" w:rsidRPr="00D74880" w:rsidRDefault="00D74880" w:rsidP="002F3368">
            <w:pPr>
              <w:spacing w:after="0" w:line="240" w:lineRule="auto"/>
              <w:ind w:left="62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D74880">
              <w:rPr>
                <w:rFonts w:eastAsia="Times New Roman" w:cstheme="minorHAnsi"/>
                <w:b/>
                <w:bCs/>
                <w:sz w:val="24"/>
                <w:lang w:eastAsia="pl-PL"/>
              </w:rPr>
              <w:t>Maksymalna liczba punktów: 40</w:t>
            </w:r>
          </w:p>
          <w:p w:rsidR="00D74880" w:rsidRDefault="00D74880" w:rsidP="002F3368">
            <w:pPr>
              <w:spacing w:after="0" w:line="240" w:lineRule="auto"/>
              <w:ind w:left="62" w:right="152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74880">
              <w:rPr>
                <w:rFonts w:eastAsia="Times New Roman" w:cstheme="minorHAnsi"/>
                <w:bCs/>
                <w:lang w:eastAsia="pl-PL"/>
              </w:rPr>
              <w:t xml:space="preserve">Otrzymanie 0 punktów dla któregokolwiek kryterium </w:t>
            </w:r>
            <w:r>
              <w:rPr>
                <w:rFonts w:eastAsia="Times New Roman" w:cstheme="minorHAnsi"/>
                <w:bCs/>
                <w:lang w:eastAsia="pl-PL"/>
              </w:rPr>
              <w:t>lub</w:t>
            </w:r>
            <w:r w:rsidRPr="00D7488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otrzymanie łącznej sumy punktów niższej niż 50 % maksymalnej punktacji (tj. mniej niż 20 pkt) powoduje odrzucenie propozycji Programu Rozwoju. </w:t>
            </w:r>
            <w:r w:rsidRPr="00D74880">
              <w:rPr>
                <w:rFonts w:eastAsia="Times New Roman" w:cstheme="minorHAnsi"/>
                <w:bCs/>
                <w:lang w:eastAsia="pl-PL"/>
              </w:rPr>
              <w:t>W</w:t>
            </w:r>
            <w:r>
              <w:rPr>
                <w:rFonts w:eastAsia="Times New Roman" w:cstheme="minorHAnsi"/>
                <w:bCs/>
                <w:lang w:eastAsia="pl-PL"/>
              </w:rPr>
              <w:t>ysokoś</w:t>
            </w:r>
            <w:r w:rsidRPr="00D74880">
              <w:rPr>
                <w:rFonts w:eastAsia="Times New Roman" w:cstheme="minorHAnsi"/>
                <w:bCs/>
                <w:lang w:eastAsia="pl-PL"/>
              </w:rPr>
              <w:t>ć ostatecznie przyznanej punktacji nie warunkuje wyboru inteligentnej specjalizacj</w:t>
            </w:r>
            <w:r>
              <w:rPr>
                <w:rFonts w:eastAsia="Times New Roman" w:cstheme="minorHAnsi"/>
                <w:bCs/>
                <w:lang w:eastAsia="pl-PL"/>
              </w:rPr>
              <w:t>i. Zespół Ekspertów</w:t>
            </w:r>
            <w:r w:rsidRPr="00D7488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wystawia rekomendacje odnośnie Programu Rozwoju </w:t>
            </w:r>
            <w:r w:rsidRPr="00D74880">
              <w:rPr>
                <w:rFonts w:eastAsia="Times New Roman" w:cstheme="minorHAnsi"/>
                <w:bCs/>
                <w:lang w:eastAsia="pl-PL"/>
              </w:rPr>
              <w:t>na podstawie własnej oceny eksperckiej, kierując się m.in. niniejszym formularzem oceny.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D74880" w:rsidRPr="002F3368" w:rsidRDefault="002F3368" w:rsidP="002F3368">
            <w:pPr>
              <w:spacing w:after="0" w:line="240" w:lineRule="auto"/>
              <w:ind w:left="62" w:right="152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Ostateczną decyzję</w:t>
            </w:r>
            <w:r w:rsidR="00D74880">
              <w:rPr>
                <w:rFonts w:eastAsia="Times New Roman" w:cstheme="minorHAnsi"/>
                <w:bCs/>
                <w:lang w:eastAsia="pl-PL"/>
              </w:rPr>
              <w:t xml:space="preserve"> odnośnie identyfikacji IS podejmuje Zarząd 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jewództwa Warmińsko-Mazurskiego po pozytywnej opinii Regionalnego Komitetu Sterującego </w:t>
            </w:r>
            <w:r>
              <w:rPr>
                <w:rFonts w:eastAsia="Times New Roman" w:cstheme="minorHAnsi"/>
                <w:bCs/>
                <w:lang w:eastAsia="pl-PL"/>
              </w:rPr>
              <w:br/>
              <w:t>ds. Regionalnej Strategii Innowacji.</w:t>
            </w:r>
          </w:p>
        </w:tc>
      </w:tr>
      <w:tr w:rsidR="00520C07" w:rsidRPr="00402481" w:rsidTr="00D469EA">
        <w:trPr>
          <w:trHeight w:val="572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0C07" w:rsidRPr="001C521A" w:rsidRDefault="001C521A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0C07" w:rsidRDefault="00520C07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NAZWA </w:t>
            </w:r>
          </w:p>
          <w:p w:rsidR="00520C07" w:rsidRPr="00457BD2" w:rsidRDefault="00520C07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KRYTERIUM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0C07" w:rsidRPr="00457BD2" w:rsidRDefault="00520C07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OPIS I SPOSÓB OCENY KRYTERIUM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0C07" w:rsidRPr="00457BD2" w:rsidRDefault="00520C07" w:rsidP="00D46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PUNKTACJA</w:t>
            </w:r>
          </w:p>
        </w:tc>
      </w:tr>
      <w:tr w:rsidR="00A47620" w:rsidRPr="00DF778C" w:rsidTr="00D469EA">
        <w:trPr>
          <w:trHeight w:val="1732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sz w:val="22"/>
                <w:szCs w:val="22"/>
              </w:rPr>
              <w:t>Trendy rynkowe</w:t>
            </w:r>
          </w:p>
        </w:tc>
        <w:tc>
          <w:tcPr>
            <w:tcW w:w="22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20" w:rsidRPr="00DF778C" w:rsidRDefault="00A47620" w:rsidP="00D469EA">
            <w:pPr>
              <w:spacing w:after="0"/>
              <w:ind w:left="73" w:right="211"/>
              <w:jc w:val="both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DF778C">
              <w:rPr>
                <w:rFonts w:eastAsia="Times New Roman" w:cstheme="minorHAnsi"/>
                <w:iCs/>
              </w:rPr>
              <w:t>Ocenie podlegać będzie czy określono trendy produkcyjne, usługowe, technologiczne rozwoju rynku, w obszarze którego funkcjonować będzie proponowana specjalizacja? Czy właściwie wykazano na jakie wyzwania rynku odpowiada proponowana specjalizacja</w:t>
            </w:r>
            <w:r w:rsidRPr="00DF778C">
              <w:rPr>
                <w:rFonts w:eastAsia="Times New Roman" w:cstheme="minorHAnsi"/>
                <w:b/>
                <w:iCs/>
              </w:rPr>
              <w:t>?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20" w:rsidRPr="00DF778C" w:rsidRDefault="00A47620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Brak analizy trendów rynkowych -0 pkt</w:t>
            </w:r>
          </w:p>
          <w:p w:rsidR="00A47620" w:rsidRPr="00DF778C" w:rsidRDefault="00A47620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Specjalizacja w umiarkowanym stopniu odpowiada trendom rozwoju rynku – 1 pkt</w:t>
            </w:r>
          </w:p>
          <w:p w:rsidR="00A47620" w:rsidRPr="00DF778C" w:rsidRDefault="00A47620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Specjalizacja w znacznym stopniu odpowiada trendom rynkowym – 3 pkt</w:t>
            </w:r>
          </w:p>
        </w:tc>
      </w:tr>
      <w:tr w:rsidR="00A47620" w:rsidRPr="00DF778C" w:rsidTr="00D469EA">
        <w:trPr>
          <w:trHeight w:val="473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20" w:rsidRPr="00A47620" w:rsidRDefault="00A47620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A47620" w:rsidRPr="00DF778C" w:rsidTr="00D469EA">
        <w:trPr>
          <w:trHeight w:val="522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620" w:rsidRPr="00DF778C" w:rsidRDefault="00A47620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620" w:rsidRDefault="00A47620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F778C" w:rsidTr="00D469EA">
        <w:trPr>
          <w:trHeight w:val="82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9676C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76C0">
              <w:rPr>
                <w:rFonts w:asciiTheme="minorHAnsi" w:hAnsiTheme="minorHAnsi" w:cstheme="minorHAnsi"/>
                <w:bCs/>
                <w:sz w:val="22"/>
                <w:szCs w:val="22"/>
              </w:rPr>
              <w:t>Potrzeby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innowacyjne przedsiębiorstw</w:t>
            </w:r>
          </w:p>
        </w:tc>
        <w:tc>
          <w:tcPr>
            <w:tcW w:w="22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</w:rPr>
            </w:pPr>
            <w:r w:rsidRPr="00DF778C">
              <w:rPr>
                <w:rFonts w:eastAsia="Times New Roman" w:cstheme="minorHAnsi"/>
                <w:iCs/>
              </w:rPr>
              <w:t xml:space="preserve">Ocenie podlegać będzie, czy Program Rozwoju zawiera diagnozę potrzeb przedsiębiorców w zakresie wdrażania innowacji. Czy wskazano jakiego rodzaju inwestycje są niezbędne dla rozwoju konkurencyjności przedsiębiorstw? Jakiego rodzaju innowacje niezbędne są w celu wzrostu produktywności przedsiębiorstw w obszarze IS? Czy przedsiębiorstwa z obszaru IS chcą wdrażać innowacje procesowe, produktowe, organizacyjne czy usługowe/produktowe? 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E4" w:rsidRDefault="00C627E4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C627E4" w:rsidRDefault="00C627E4" w:rsidP="00D469EA">
            <w:pPr>
              <w:pStyle w:val="Akapitzlist"/>
              <w:numPr>
                <w:ilvl w:val="0"/>
                <w:numId w:val="17"/>
              </w:numPr>
              <w:spacing w:after="0"/>
              <w:ind w:left="367" w:right="238" w:hanging="284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Brak analizy potrzeb innowacyjnych przedsiębiorstw – 0 pkt</w:t>
            </w:r>
          </w:p>
          <w:p w:rsidR="00C627E4" w:rsidRPr="00710AFB" w:rsidRDefault="00C627E4" w:rsidP="00D469EA">
            <w:pPr>
              <w:pStyle w:val="Akapitzlist"/>
              <w:numPr>
                <w:ilvl w:val="0"/>
                <w:numId w:val="17"/>
              </w:numPr>
              <w:spacing w:after="0"/>
              <w:ind w:left="367" w:right="238" w:hanging="284"/>
              <w:jc w:val="both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Rozwój innowacyjności w przedsiębiorstwach z obszaru IS</w:t>
            </w:r>
            <w:r>
              <w:rPr>
                <w:rFonts w:eastAsia="Times New Roman" w:cstheme="minorHAnsi"/>
                <w:lang w:eastAsia="pl-PL"/>
              </w:rPr>
              <w:t xml:space="preserve"> nie</w:t>
            </w:r>
            <w:r w:rsidRPr="00710AFB">
              <w:rPr>
                <w:rFonts w:eastAsia="Times New Roman" w:cstheme="minorHAnsi"/>
                <w:lang w:eastAsia="pl-PL"/>
              </w:rPr>
              <w:t xml:space="preserve"> jest </w:t>
            </w:r>
            <w:r>
              <w:rPr>
                <w:rFonts w:eastAsia="Times New Roman" w:cstheme="minorHAnsi"/>
                <w:lang w:eastAsia="pl-PL"/>
              </w:rPr>
              <w:t xml:space="preserve">szczególnie istotny </w:t>
            </w:r>
            <w:r w:rsidRPr="00710AFB">
              <w:rPr>
                <w:rFonts w:eastAsia="Times New Roman" w:cstheme="minorHAnsi"/>
                <w:lang w:eastAsia="pl-PL"/>
              </w:rPr>
              <w:t xml:space="preserve">dla ich konkurencyjności </w:t>
            </w:r>
            <w:r>
              <w:rPr>
                <w:rFonts w:eastAsia="Times New Roman" w:cstheme="minorHAnsi"/>
                <w:lang w:eastAsia="pl-PL"/>
              </w:rPr>
              <w:t>– 1 pkt</w:t>
            </w:r>
          </w:p>
          <w:p w:rsidR="00C627E4" w:rsidRPr="00710AFB" w:rsidRDefault="00C627E4" w:rsidP="00D469EA">
            <w:pPr>
              <w:pStyle w:val="Akapitzlist"/>
              <w:numPr>
                <w:ilvl w:val="0"/>
                <w:numId w:val="17"/>
              </w:numPr>
              <w:spacing w:after="0"/>
              <w:ind w:left="367" w:right="238" w:hanging="284"/>
              <w:jc w:val="both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 xml:space="preserve">Rozwój innowacyjności w przedsiębiorstwach z obszaru IS jest kluczowy dla ich konkurencyjności na rynku – 3 </w:t>
            </w:r>
            <w:r>
              <w:rPr>
                <w:rFonts w:eastAsia="Times New Roman" w:cstheme="minorHAnsi"/>
                <w:lang w:eastAsia="pl-PL"/>
              </w:rPr>
              <w:t>pkt</w:t>
            </w:r>
          </w:p>
        </w:tc>
      </w:tr>
      <w:tr w:rsidR="00C627E4" w:rsidRPr="00DF778C" w:rsidTr="00D469EA">
        <w:trPr>
          <w:trHeight w:val="467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9676C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F778C" w:rsidTr="00D469EA">
        <w:trPr>
          <w:trHeight w:val="576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9676C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F778C" w:rsidTr="00D469EA">
        <w:trPr>
          <w:trHeight w:val="172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cstheme="minorHAnsi"/>
              </w:rPr>
            </w:pPr>
            <w:r w:rsidRPr="00DF778C">
              <w:rPr>
                <w:rFonts w:cs="Calibri"/>
              </w:rPr>
              <w:t>Skala innowacyjności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</w:rPr>
            </w:pPr>
            <w:r w:rsidRPr="00DF778C">
              <w:rPr>
                <w:rFonts w:eastAsia="Times New Roman" w:cstheme="minorHAnsi"/>
                <w:iCs/>
              </w:rPr>
              <w:t xml:space="preserve">Ocenie podlegać będzie czy dokonano analizy skali innowacyjności potencjalnych inwestycji innowacyjnych przedsiębiorstw. Jakiego rodzaju innowacyjne produkty/usługi mogą zaoferować przedsiębiorstwa? Jakiego rodzaju innowacje wdrożyć mogą przedsiębiorstwa? Czy innowacyjność przedsiębiorstw ma poziom regionalny, krajowy czy światowy?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E4" w:rsidRDefault="00C627E4" w:rsidP="00D469EA">
            <w:pPr>
              <w:pStyle w:val="Akapitzlist"/>
              <w:numPr>
                <w:ilvl w:val="0"/>
                <w:numId w:val="15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Brak analizy</w:t>
            </w:r>
            <w:r>
              <w:rPr>
                <w:rFonts w:eastAsia="Times New Roman" w:cstheme="minorHAnsi"/>
                <w:lang w:eastAsia="pl-PL"/>
              </w:rPr>
              <w:t xml:space="preserve"> skali</w:t>
            </w:r>
            <w:r w:rsidRPr="00710AFB">
              <w:rPr>
                <w:rFonts w:eastAsia="Times New Roman" w:cstheme="minorHAnsi"/>
                <w:lang w:eastAsia="pl-PL"/>
              </w:rPr>
              <w:t xml:space="preserve"> innowacyjności</w:t>
            </w:r>
            <w:r>
              <w:rPr>
                <w:rFonts w:eastAsia="Times New Roman" w:cstheme="minorHAnsi"/>
                <w:lang w:eastAsia="pl-PL"/>
              </w:rPr>
              <w:t xml:space="preserve"> – 0 pkt</w:t>
            </w:r>
          </w:p>
          <w:p w:rsidR="00C627E4" w:rsidRDefault="00C627E4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Planowane przez przedsiębiorców do wdrożenia inwestycje/działania są innowacyjne głównie na poziomie:</w:t>
            </w:r>
          </w:p>
          <w:p w:rsidR="00C627E4" w:rsidRPr="00710AFB" w:rsidRDefault="00C627E4" w:rsidP="00D469EA">
            <w:pPr>
              <w:pStyle w:val="Akapitzlist"/>
              <w:numPr>
                <w:ilvl w:val="0"/>
                <w:numId w:val="14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Regionalnym</w:t>
            </w:r>
            <w:r>
              <w:rPr>
                <w:rFonts w:eastAsia="Times New Roman" w:cstheme="minorHAnsi"/>
                <w:lang w:eastAsia="pl-PL"/>
              </w:rPr>
              <w:t xml:space="preserve"> – 1 pkt</w:t>
            </w:r>
          </w:p>
          <w:p w:rsidR="00C627E4" w:rsidRPr="00710AFB" w:rsidRDefault="00C627E4" w:rsidP="00D469EA">
            <w:pPr>
              <w:pStyle w:val="Akapitzlist"/>
              <w:numPr>
                <w:ilvl w:val="0"/>
                <w:numId w:val="12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Krajowym</w:t>
            </w:r>
            <w:r>
              <w:rPr>
                <w:rFonts w:eastAsia="Times New Roman" w:cstheme="minorHAnsi"/>
                <w:lang w:eastAsia="pl-PL"/>
              </w:rPr>
              <w:t xml:space="preserve"> – 3 pkt</w:t>
            </w:r>
          </w:p>
          <w:p w:rsidR="00C627E4" w:rsidRPr="00DF778C" w:rsidRDefault="00C627E4" w:rsidP="00D469EA">
            <w:pPr>
              <w:pStyle w:val="Akapitzlist"/>
              <w:numPr>
                <w:ilvl w:val="0"/>
                <w:numId w:val="12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710AFB">
              <w:rPr>
                <w:rFonts w:eastAsia="Times New Roman" w:cstheme="minorHAnsi"/>
                <w:lang w:eastAsia="pl-PL"/>
              </w:rPr>
              <w:t>Światowym</w:t>
            </w:r>
            <w:r>
              <w:rPr>
                <w:rFonts w:eastAsia="Times New Roman" w:cstheme="minorHAnsi"/>
                <w:lang w:eastAsia="pl-PL"/>
              </w:rPr>
              <w:t xml:space="preserve"> – 4 pkt</w:t>
            </w:r>
          </w:p>
        </w:tc>
      </w:tr>
      <w:tr w:rsidR="00C627E4" w:rsidRPr="00DF778C" w:rsidTr="00D469EA">
        <w:trPr>
          <w:trHeight w:val="99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cs="Calibri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F778C" w:rsidTr="00D469EA">
        <w:trPr>
          <w:trHeight w:val="49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cs="Calibri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F778C" w:rsidTr="00D469EA">
        <w:trPr>
          <w:trHeight w:val="196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sz w:val="22"/>
                <w:szCs w:val="22"/>
              </w:rPr>
              <w:t>Potencjał naukowy w regionie oraz poza regionem na potrzeby rozwoju  specjalizacji</w:t>
            </w:r>
          </w:p>
        </w:tc>
        <w:tc>
          <w:tcPr>
            <w:tcW w:w="22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2F3368">
            <w:pPr>
              <w:spacing w:after="0"/>
              <w:ind w:left="73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DF778C">
              <w:rPr>
                <w:rFonts w:cstheme="minorHAnsi"/>
                <w:iCs/>
              </w:rPr>
              <w:t xml:space="preserve">Ocenie podlegać będzie, czy dokonano analizy potencjału instytucji badawczo-naukowych, tj. przeanalizowano możliwości rozwoju podmiotów oferujących usługi badawczo-naukowe przedsiębiorstwom funkcjonującym w ramach proponowanej specjalizacji w regionie. Czy wykazano, że jednostki naukowe w regionie lub </w:t>
            </w:r>
            <w:r w:rsidR="002F3368">
              <w:rPr>
                <w:rFonts w:cstheme="minorHAnsi"/>
                <w:iCs/>
              </w:rPr>
              <w:t>poza regionem</w:t>
            </w:r>
            <w:r w:rsidRPr="00DF778C">
              <w:rPr>
                <w:rFonts w:cstheme="minorHAnsi"/>
                <w:iCs/>
              </w:rPr>
              <w:t xml:space="preserve"> mają potencjał do świadczenia usług B+R dla przedsiębiorców z województwa warmińsko-mazurskiego.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E4" w:rsidRPr="00DF778C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jc w:val="both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Nie dokonano analizy potencjału naukowego – 0 pkt</w:t>
            </w:r>
          </w:p>
          <w:p w:rsidR="00C627E4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jc w:val="both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Wykazano, iż instytucje naukowe w regionie nie posiadają znaczącego potencjału do świadczenia przedsiębiorstwom usług B+R – 1 pkt</w:t>
            </w:r>
          </w:p>
          <w:p w:rsidR="00C627E4" w:rsidRPr="00C627E4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jc w:val="both"/>
              <w:rPr>
                <w:rFonts w:eastAsia="Times New Roman" w:cstheme="minorHAnsi"/>
                <w:lang w:eastAsia="pl-PL"/>
              </w:rPr>
            </w:pPr>
            <w:r w:rsidRPr="00C627E4">
              <w:rPr>
                <w:rFonts w:eastAsia="Times New Roman" w:cstheme="minorHAnsi"/>
                <w:lang w:eastAsia="pl-PL"/>
              </w:rPr>
              <w:t>Wykazano iż instytucje naukowe w regionie posiadają znaczący potencjału do świadczenia przedsiębiorstwom usług B+R – 3 pkt</w:t>
            </w:r>
          </w:p>
        </w:tc>
      </w:tr>
      <w:tr w:rsidR="00C627E4" w:rsidRPr="00DF778C" w:rsidTr="00D469EA">
        <w:trPr>
          <w:trHeight w:val="195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F778C" w:rsidTr="00D469EA">
        <w:trPr>
          <w:trHeight w:val="468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402481" w:rsidTr="00D469EA">
        <w:trPr>
          <w:trHeight w:val="16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1C521A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</w:t>
            </w:r>
            <w:r w:rsidRPr="00DF778C">
              <w:rPr>
                <w:rFonts w:asciiTheme="minorHAnsi" w:hAnsiTheme="minorHAnsi" w:cstheme="minorHAnsi"/>
                <w:sz w:val="22"/>
                <w:szCs w:val="22"/>
              </w:rPr>
              <w:t xml:space="preserve"> współpracy na linii biznes-biznes oraz biznes-nauka</w:t>
            </w:r>
          </w:p>
        </w:tc>
        <w:tc>
          <w:tcPr>
            <w:tcW w:w="22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DF778C">
              <w:rPr>
                <w:rFonts w:cstheme="minorHAnsi"/>
                <w:iCs/>
              </w:rPr>
              <w:t>Ocenie podlegać będzie czy przeanalizowano dotychczasową współpracę podmiotów naukowych zarówno funkcjonujących w regionie jak i poza regionem z przedsiębiorstwami z regionu i czy wnioski z tej analizy potwierdzają potencjał do współpracy na linii biznes-biznes oraz nauka-biznes.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E4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Brak analizy potencjału współpracy nauka-biznes – 0 pkt</w:t>
            </w:r>
          </w:p>
          <w:p w:rsidR="00C627E4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665CE6">
              <w:rPr>
                <w:rFonts w:eastAsia="Times New Roman" w:cstheme="minorHAnsi"/>
                <w:lang w:eastAsia="pl-PL"/>
              </w:rPr>
              <w:t xml:space="preserve">spółpraca biznes/B+R odbywać się będzie głównie z </w:t>
            </w:r>
          </w:p>
          <w:p w:rsidR="00C627E4" w:rsidRPr="00665CE6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 w:rsidRPr="00665CE6">
              <w:rPr>
                <w:rFonts w:eastAsia="Times New Roman" w:cstheme="minorHAnsi"/>
                <w:lang w:eastAsia="pl-PL"/>
              </w:rPr>
              <w:t>podmiotami naukowymi z poza regionu – 1 pkt</w:t>
            </w:r>
          </w:p>
          <w:p w:rsidR="00C627E4" w:rsidRPr="00DF778C" w:rsidRDefault="00C627E4" w:rsidP="00D469EA">
            <w:pPr>
              <w:pStyle w:val="Akapitzlist"/>
              <w:numPr>
                <w:ilvl w:val="0"/>
                <w:numId w:val="6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665CE6">
              <w:rPr>
                <w:rFonts w:eastAsia="Times New Roman" w:cstheme="minorHAnsi"/>
                <w:lang w:eastAsia="pl-PL"/>
              </w:rPr>
              <w:t>Wykazano duży potencjał naukowy wewnątrz wojew</w:t>
            </w:r>
            <w:r>
              <w:rPr>
                <w:rFonts w:eastAsia="Times New Roman" w:cstheme="minorHAnsi"/>
                <w:lang w:eastAsia="pl-PL"/>
              </w:rPr>
              <w:t>ództwa warmińsko-mazurskiego – 3</w:t>
            </w:r>
            <w:r w:rsidRPr="00665CE6">
              <w:rPr>
                <w:rFonts w:eastAsia="Times New Roman" w:cstheme="minorHAnsi"/>
                <w:lang w:eastAsia="pl-PL"/>
              </w:rPr>
              <w:t xml:space="preserve"> pkt</w:t>
            </w:r>
          </w:p>
        </w:tc>
      </w:tr>
      <w:tr w:rsidR="00C627E4" w:rsidRPr="00402481" w:rsidTr="00D469EA">
        <w:trPr>
          <w:trHeight w:val="150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402481" w:rsidTr="00D469EA">
        <w:trPr>
          <w:trHeight w:val="44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F778C" w:rsidTr="00D469EA">
        <w:trPr>
          <w:trHeight w:val="138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sz w:val="22"/>
                <w:szCs w:val="22"/>
              </w:rPr>
              <w:t>Potencjał eksportowy IS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DF778C">
              <w:rPr>
                <w:rFonts w:eastAsia="Times New Roman" w:cstheme="minorHAnsi"/>
                <w:iCs/>
                <w:color w:val="000000"/>
              </w:rPr>
              <w:t xml:space="preserve">Ocenie podlegać będzie, czy dokonano analizy aktualnego poziomu oraz potencjału eksportowego proponowanej IS i czy wnioski z analizy potwierdzają istnienie potencjału eksportowego. W jaki sposób inwestycje B+R w tym sektorze IS mogą przyczynić się do wzrostu eksportu poza region/kraj.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7E4" w:rsidRPr="00DF778C" w:rsidRDefault="00C627E4" w:rsidP="00D469EA">
            <w:pPr>
              <w:pStyle w:val="Akapitzlist"/>
              <w:numPr>
                <w:ilvl w:val="0"/>
                <w:numId w:val="5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Nie dokonano analizy potencjału eksportowego – 0 pkt</w:t>
            </w:r>
          </w:p>
          <w:p w:rsidR="00C627E4" w:rsidRPr="00DF778C" w:rsidRDefault="00C627E4" w:rsidP="00D469EA">
            <w:pPr>
              <w:pStyle w:val="Akapitzlist"/>
              <w:numPr>
                <w:ilvl w:val="0"/>
                <w:numId w:val="5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Wykazano duży potencjał eksportowy</w:t>
            </w:r>
          </w:p>
          <w:p w:rsidR="00C627E4" w:rsidRPr="00DF778C" w:rsidRDefault="00C627E4" w:rsidP="00D469EA">
            <w:pPr>
              <w:pStyle w:val="Akapitzlist"/>
              <w:spacing w:after="0"/>
              <w:ind w:left="358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- w wymiarze ponadregionalnym – 1 pkt</w:t>
            </w:r>
          </w:p>
          <w:p w:rsidR="00C627E4" w:rsidRPr="00DF778C" w:rsidRDefault="00C627E4" w:rsidP="00D469EA">
            <w:pPr>
              <w:pStyle w:val="Akapitzlist"/>
              <w:spacing w:after="0"/>
              <w:ind w:left="358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- w wymiarze pozakrajowym – 3 pkt</w:t>
            </w:r>
          </w:p>
          <w:p w:rsidR="00C627E4" w:rsidRPr="00DF778C" w:rsidRDefault="00C627E4" w:rsidP="00D469EA">
            <w:pPr>
              <w:spacing w:after="0"/>
              <w:ind w:left="362" w:right="238"/>
              <w:jc w:val="both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 xml:space="preserve">-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DF778C">
              <w:rPr>
                <w:rFonts w:eastAsia="Times New Roman" w:cstheme="minorHAnsi"/>
                <w:lang w:eastAsia="pl-PL"/>
              </w:rPr>
              <w:t>wymiarze globalnym - 4 pkt</w:t>
            </w:r>
          </w:p>
        </w:tc>
      </w:tr>
      <w:tr w:rsidR="00C627E4" w:rsidRPr="00DF778C" w:rsidTr="00D469EA">
        <w:trPr>
          <w:trHeight w:val="195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F778C" w:rsidTr="00D469EA">
        <w:trPr>
          <w:trHeight w:val="526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F778C" w:rsidTr="00D469EA">
        <w:trPr>
          <w:trHeight w:val="136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eastAsia="Times New Roman" w:cstheme="minorHAnsi"/>
                <w:bCs/>
              </w:rPr>
            </w:pPr>
            <w:r w:rsidRPr="00DF778C">
              <w:rPr>
                <w:rFonts w:eastAsia="Times New Roman" w:cstheme="minorHAnsi"/>
                <w:bCs/>
              </w:rPr>
              <w:t>Łańcuch wartości IS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DF778C">
              <w:rPr>
                <w:rFonts w:eastAsia="Times New Roman" w:cstheme="minorHAnsi"/>
                <w:iCs/>
                <w:color w:val="000000"/>
              </w:rPr>
              <w:t>Ocenie podlegać będzie, czy dokonano analizy łańcucha wartości przedsiębiorstw z obszaru proponowanej IS tj. wskazano, na jakim poziomie łańcucha wartości znajdują się firmy z regionu, określono, w których elementach łańcucha niezbędne są inwestycje B+R, jak inwestycje B+R wpłyną na usprawnienie łańcucha war</w:t>
            </w:r>
            <w:r>
              <w:rPr>
                <w:rFonts w:eastAsia="Times New Roman" w:cstheme="minorHAnsi"/>
                <w:iCs/>
                <w:color w:val="000000"/>
              </w:rPr>
              <w:t>tości przedsiębiorstw.</w:t>
            </w:r>
            <w:r w:rsidRPr="00DF778C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E4" w:rsidRPr="00665CE6" w:rsidRDefault="00C627E4" w:rsidP="00D469EA">
            <w:pPr>
              <w:pStyle w:val="Akapitzlist"/>
              <w:numPr>
                <w:ilvl w:val="0"/>
                <w:numId w:val="3"/>
              </w:numPr>
              <w:spacing w:after="0"/>
              <w:ind w:left="358" w:hanging="283"/>
              <w:rPr>
                <w:rFonts w:eastAsia="Times New Roman" w:cstheme="minorHAnsi"/>
                <w:lang w:eastAsia="pl-PL"/>
              </w:rPr>
            </w:pPr>
            <w:r w:rsidRPr="00665CE6">
              <w:rPr>
                <w:rFonts w:eastAsia="Times New Roman" w:cstheme="minorHAnsi"/>
                <w:lang w:eastAsia="pl-PL"/>
              </w:rPr>
              <w:t>Brak analizy łańcucha wartości – 0 pkt</w:t>
            </w:r>
          </w:p>
          <w:p w:rsidR="00C627E4" w:rsidRDefault="00C627E4" w:rsidP="00D469EA">
            <w:pPr>
              <w:pStyle w:val="Akapitzlist"/>
              <w:numPr>
                <w:ilvl w:val="0"/>
                <w:numId w:val="3"/>
              </w:numPr>
              <w:spacing w:after="0"/>
              <w:ind w:left="358" w:hanging="283"/>
              <w:rPr>
                <w:rFonts w:eastAsia="Times New Roman" w:cstheme="minorHAnsi"/>
                <w:lang w:eastAsia="pl-PL"/>
              </w:rPr>
            </w:pPr>
            <w:r w:rsidRPr="00665CE6">
              <w:rPr>
                <w:rFonts w:eastAsia="Times New Roman" w:cstheme="minorHAnsi"/>
                <w:lang w:eastAsia="pl-PL"/>
              </w:rPr>
              <w:t>Analiza jest wystarczająca – 1pkt</w:t>
            </w:r>
          </w:p>
          <w:p w:rsidR="00C627E4" w:rsidRPr="00DF778C" w:rsidRDefault="00C627E4" w:rsidP="00D469EA">
            <w:pPr>
              <w:pStyle w:val="Akapitzlist"/>
              <w:numPr>
                <w:ilvl w:val="0"/>
                <w:numId w:val="3"/>
              </w:numPr>
              <w:spacing w:after="0"/>
              <w:ind w:left="358" w:hanging="283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Analiza jest szczegółowa – 2 pkt</w:t>
            </w:r>
          </w:p>
        </w:tc>
      </w:tr>
      <w:tr w:rsidR="00C627E4" w:rsidRPr="00DF778C" w:rsidTr="00D469EA">
        <w:trPr>
          <w:trHeight w:val="150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eastAsia="Times New Roman" w:cstheme="minorHAnsi"/>
                <w:bCs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F778C" w:rsidTr="00D469EA">
        <w:trPr>
          <w:trHeight w:val="517"/>
        </w:trPr>
        <w:tc>
          <w:tcPr>
            <w:tcW w:w="160" w:type="pct"/>
            <w:vMerge/>
            <w:tcBorders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27E4" w:rsidRPr="00DF778C" w:rsidRDefault="00C627E4" w:rsidP="00D469EA">
            <w:pPr>
              <w:spacing w:after="0"/>
              <w:rPr>
                <w:rFonts w:eastAsia="Times New Roman" w:cstheme="minorHAnsi"/>
                <w:bCs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402481" w:rsidTr="00D469EA">
        <w:trPr>
          <w:trHeight w:val="1515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Pr="001C521A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C521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bCs/>
                <w:sz w:val="22"/>
                <w:szCs w:val="22"/>
              </w:rPr>
              <w:t>Potencjał kadrowy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</w:rPr>
            </w:pPr>
            <w:r w:rsidRPr="00DF778C">
              <w:rPr>
                <w:rFonts w:eastAsia="Times New Roman" w:cstheme="minorHAnsi"/>
                <w:iCs/>
                <w:color w:val="000000"/>
              </w:rPr>
              <w:t>Ocenie podlegać będzie, czy d</w:t>
            </w:r>
            <w:r w:rsidRPr="00DF778C">
              <w:rPr>
                <w:rFonts w:eastAsia="Times New Roman" w:cstheme="minorHAnsi"/>
                <w:iCs/>
              </w:rPr>
              <w:t>okonano analizy potencjału kadrowego na potrzeby rozwoju IS zarówno w sektorze biznesu jak i podmiotów B+R. Czy przedsiębiorcy będą mieli znaczące trudności w pozyskaniu personelu do wrażania działań B+R oraz innowacji? Czy istniejące podmioty edukacyjne kształcą niezbędne kadry na potrzeby IS?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483585" w:rsidRDefault="00C627E4" w:rsidP="00D469EA">
            <w:pPr>
              <w:pStyle w:val="Akapitzlist"/>
              <w:numPr>
                <w:ilvl w:val="0"/>
                <w:numId w:val="18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483585">
              <w:rPr>
                <w:rFonts w:eastAsia="Times New Roman" w:cstheme="minorHAnsi"/>
                <w:lang w:eastAsia="pl-PL"/>
              </w:rPr>
              <w:t xml:space="preserve">Nie dokonano analizy potencjału </w:t>
            </w:r>
            <w:r>
              <w:rPr>
                <w:rFonts w:eastAsia="Times New Roman" w:cstheme="minorHAnsi"/>
                <w:lang w:eastAsia="pl-PL"/>
              </w:rPr>
              <w:t>kadrowego</w:t>
            </w:r>
            <w:r w:rsidRPr="00483585">
              <w:rPr>
                <w:rFonts w:eastAsia="Times New Roman" w:cstheme="minorHAnsi"/>
                <w:lang w:eastAsia="pl-PL"/>
              </w:rPr>
              <w:t xml:space="preserve"> – 0 pkt</w:t>
            </w:r>
          </w:p>
          <w:p w:rsidR="00C627E4" w:rsidRDefault="00C627E4" w:rsidP="00D469EA">
            <w:pPr>
              <w:pStyle w:val="Akapitzlist"/>
              <w:numPr>
                <w:ilvl w:val="0"/>
                <w:numId w:val="8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F050CB">
              <w:rPr>
                <w:rFonts w:eastAsia="Times New Roman" w:cstheme="minorHAnsi"/>
                <w:lang w:eastAsia="pl-PL"/>
              </w:rPr>
              <w:t xml:space="preserve">Potencjał kadrowy w regionie </w:t>
            </w:r>
            <w:r>
              <w:rPr>
                <w:rFonts w:eastAsia="Times New Roman" w:cstheme="minorHAnsi"/>
                <w:lang w:eastAsia="pl-PL"/>
              </w:rPr>
              <w:t>jest niewielki – 1 pkt</w:t>
            </w:r>
          </w:p>
          <w:p w:rsidR="00C627E4" w:rsidRPr="00DF778C" w:rsidRDefault="00C627E4" w:rsidP="00D469EA">
            <w:pPr>
              <w:pStyle w:val="Akapitzlist"/>
              <w:numPr>
                <w:ilvl w:val="0"/>
                <w:numId w:val="8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DF778C">
              <w:rPr>
                <w:rFonts w:eastAsia="Times New Roman" w:cstheme="minorHAnsi"/>
                <w:lang w:eastAsia="pl-PL"/>
              </w:rPr>
              <w:t>Istnieje wystarczający potencjał kadrowy w regionie - 2 pkt</w:t>
            </w:r>
          </w:p>
        </w:tc>
      </w:tr>
      <w:tr w:rsidR="00C627E4" w:rsidRPr="00402481" w:rsidTr="00D469EA">
        <w:trPr>
          <w:trHeight w:val="129"/>
        </w:trPr>
        <w:tc>
          <w:tcPr>
            <w:tcW w:w="16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402481" w:rsidTr="00D469EA">
        <w:trPr>
          <w:trHeight w:val="535"/>
        </w:trPr>
        <w:tc>
          <w:tcPr>
            <w:tcW w:w="1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402481" w:rsidTr="00D469EA">
        <w:trPr>
          <w:trHeight w:val="168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778C">
              <w:rPr>
                <w:rFonts w:asciiTheme="minorHAnsi" w:hAnsiTheme="minorHAnsi" w:cstheme="minorHAnsi"/>
                <w:sz w:val="22"/>
                <w:szCs w:val="22"/>
              </w:rPr>
              <w:t>Analiza SWOT IS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F778C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  <w:iCs/>
              </w:rPr>
            </w:pPr>
            <w:r w:rsidRPr="00DF778C">
              <w:rPr>
                <w:rFonts w:eastAsia="Times New Roman" w:cstheme="minorHAnsi"/>
                <w:iCs/>
                <w:color w:val="000000"/>
              </w:rPr>
              <w:t>Ocenie podlegać będzie, czy d</w:t>
            </w:r>
            <w:r w:rsidRPr="00DF778C">
              <w:rPr>
                <w:rFonts w:eastAsia="Times New Roman" w:cstheme="minorHAnsi"/>
                <w:iCs/>
              </w:rPr>
              <w:t>okonano analizy SWOT sektora tj. analizy słabych i mocnych stron oraz szans i zagrożeń rozwoju sektora jako IS, czy mocne strony i szanse uzasadniają identyfikację IS a słabe strony i zagrożenia mogą zostać przezwyciężone wraz z skierowaniem interwencji publicznej na jej rozwój.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Default="00C627E4" w:rsidP="00D469EA">
            <w:pPr>
              <w:pStyle w:val="Akapitzlist"/>
              <w:spacing w:after="0"/>
              <w:rPr>
                <w:rFonts w:eastAsia="Times New Roman" w:cstheme="minorHAnsi"/>
                <w:lang w:eastAsia="pl-PL"/>
              </w:rPr>
            </w:pPr>
          </w:p>
          <w:p w:rsidR="00C627E4" w:rsidRDefault="00C627E4" w:rsidP="00D469EA">
            <w:pPr>
              <w:pStyle w:val="Akapitzlist"/>
              <w:numPr>
                <w:ilvl w:val="0"/>
                <w:numId w:val="1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dokonano analizy SWOT – 0 pkt</w:t>
            </w:r>
          </w:p>
          <w:p w:rsidR="00C627E4" w:rsidRPr="00520C07" w:rsidRDefault="00C627E4" w:rsidP="00D469EA">
            <w:pPr>
              <w:pStyle w:val="Akapitzlist"/>
              <w:numPr>
                <w:ilvl w:val="0"/>
                <w:numId w:val="1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520C07">
              <w:rPr>
                <w:rFonts w:eastAsia="Times New Roman" w:cstheme="minorHAnsi"/>
                <w:lang w:eastAsia="pl-PL"/>
              </w:rPr>
              <w:t>Analiza SWOT jest wystarczająca – 1 pkt</w:t>
            </w:r>
          </w:p>
          <w:p w:rsidR="00C627E4" w:rsidRDefault="00C627E4" w:rsidP="00D469EA">
            <w:pPr>
              <w:pStyle w:val="Akapitzlist"/>
              <w:numPr>
                <w:ilvl w:val="0"/>
                <w:numId w:val="1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520C07">
              <w:rPr>
                <w:rFonts w:eastAsia="Times New Roman" w:cstheme="minorHAnsi"/>
                <w:lang w:eastAsia="pl-PL"/>
              </w:rPr>
              <w:t>Analiza SWOT wnikliwie odnosi się do wielu aspektów gospodarczych - 2 pkt</w:t>
            </w:r>
          </w:p>
          <w:p w:rsidR="00C627E4" w:rsidRPr="00483585" w:rsidRDefault="00C627E4" w:rsidP="00D469EA">
            <w:pPr>
              <w:pStyle w:val="Akapitzlist"/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C627E4" w:rsidRPr="00402481" w:rsidTr="00D469EA">
        <w:trPr>
          <w:trHeight w:val="180"/>
        </w:trPr>
        <w:tc>
          <w:tcPr>
            <w:tcW w:w="16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402481" w:rsidTr="00D469EA">
        <w:trPr>
          <w:trHeight w:val="503"/>
        </w:trPr>
        <w:tc>
          <w:tcPr>
            <w:tcW w:w="1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DF778C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2E5727" w:rsidTr="00D469EA">
        <w:trPr>
          <w:trHeight w:val="20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5727">
              <w:rPr>
                <w:rFonts w:asciiTheme="minorHAnsi" w:hAnsiTheme="minorHAnsi" w:cstheme="minorHAnsi"/>
                <w:sz w:val="22"/>
                <w:szCs w:val="22"/>
              </w:rPr>
              <w:t>Otoczenie biznesowe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pStyle w:val="Tekstkomentarza"/>
              <w:jc w:val="both"/>
              <w:rPr>
                <w:rFonts w:cstheme="minorHAnsi"/>
                <w:iCs/>
                <w:sz w:val="22"/>
              </w:rPr>
            </w:pPr>
          </w:p>
          <w:p w:rsidR="00C627E4" w:rsidRPr="002E5727" w:rsidRDefault="00C627E4" w:rsidP="009F12AB">
            <w:pPr>
              <w:spacing w:after="0"/>
              <w:ind w:left="73"/>
              <w:jc w:val="both"/>
              <w:rPr>
                <w:rFonts w:eastAsia="Times New Roman" w:cstheme="minorHAnsi"/>
                <w:iCs/>
              </w:rPr>
            </w:pPr>
            <w:r w:rsidRPr="002E5727">
              <w:rPr>
                <w:rFonts w:eastAsia="Times New Roman" w:cstheme="minorHAnsi"/>
                <w:iCs/>
                <w:color w:val="000000"/>
              </w:rPr>
              <w:t>Ocenie podlegać będzie, czy p</w:t>
            </w:r>
            <w:r w:rsidRPr="002E5727">
              <w:rPr>
                <w:rFonts w:eastAsia="Times New Roman" w:cstheme="minorHAnsi"/>
                <w:iCs/>
              </w:rPr>
              <w:t>rzeanalizowano funkcjonujące obecnie instytucje otoczenia biznesu (IOB) w regionie pod względem ich potencjału do świadczenia wyspecjalizowanych usług wpływających na rozwój innowacyjny przedsiębiorstw IS. Czy region posiada podmioty wspierające rozwój danej IS? Jakie są potrzeby i jaki jest potencjał ich powstawania? Czy podmioty te oferują obecnie na rynku usługi na potrzeby rozwoju IS?</w:t>
            </w:r>
            <w:r w:rsidR="002F3368">
              <w:rPr>
                <w:rFonts w:eastAsia="Times New Roman" w:cstheme="minorHAnsi"/>
                <w:iCs/>
              </w:rPr>
              <w:t xml:space="preserve"> Czy</w:t>
            </w:r>
            <w:r w:rsidR="00B27FB9">
              <w:rPr>
                <w:rFonts w:eastAsia="Times New Roman" w:cstheme="minorHAnsi"/>
                <w:iCs/>
              </w:rPr>
              <w:t>,  w razie braku potencjału podmiotów IOB z regionu</w:t>
            </w:r>
            <w:r w:rsidR="002F3368">
              <w:rPr>
                <w:rFonts w:eastAsia="Times New Roman" w:cstheme="minorHAnsi"/>
                <w:iCs/>
              </w:rPr>
              <w:t xml:space="preserve"> podmioty IOB spoz</w:t>
            </w:r>
            <w:r w:rsidR="009F12AB">
              <w:rPr>
                <w:rFonts w:eastAsia="Times New Roman" w:cstheme="minorHAnsi"/>
                <w:iCs/>
              </w:rPr>
              <w:t xml:space="preserve">a regionu mogą świadczyć usługi </w:t>
            </w:r>
            <w:r w:rsidR="009F12AB">
              <w:rPr>
                <w:rFonts w:eastAsia="Times New Roman" w:cstheme="minorHAnsi"/>
                <w:iCs/>
              </w:rPr>
              <w:t>przedsiębiorstwom</w:t>
            </w:r>
            <w:r w:rsidR="009F12AB">
              <w:rPr>
                <w:rFonts w:eastAsia="Times New Roman" w:cstheme="minorHAnsi"/>
                <w:iCs/>
              </w:rPr>
              <w:t xml:space="preserve"> w regionie </w:t>
            </w:r>
            <w:r w:rsidR="002F3368">
              <w:rPr>
                <w:rFonts w:eastAsia="Times New Roman" w:cstheme="minorHAnsi"/>
                <w:iCs/>
              </w:rPr>
              <w:t>na potrzeby rozwoju specjalizacji</w:t>
            </w:r>
            <w:r w:rsidR="009F12AB">
              <w:rPr>
                <w:rFonts w:eastAsia="Times New Roman" w:cstheme="minorHAnsi"/>
                <w:iCs/>
              </w:rPr>
              <w:t>?</w:t>
            </w:r>
            <w:r w:rsidR="002F3368">
              <w:rPr>
                <w:rFonts w:eastAsia="Times New Roman" w:cstheme="minorHAnsi"/>
                <w:iCs/>
              </w:rPr>
              <w:t xml:space="preserve"> </w:t>
            </w:r>
            <w:r w:rsidR="00B27FB9">
              <w:rPr>
                <w:rFonts w:eastAsia="Times New Roman" w:cstheme="minorHAnsi"/>
                <w:iCs/>
              </w:rPr>
              <w:t>Czy usługi w zakresie wsparcia specjalizacji mogą być świadczone przedsiębiorcom</w:t>
            </w:r>
            <w:bookmarkStart w:id="0" w:name="_GoBack"/>
            <w:bookmarkEnd w:id="0"/>
            <w:r w:rsidR="00B27FB9">
              <w:rPr>
                <w:rFonts w:eastAsia="Times New Roman" w:cstheme="minorHAnsi"/>
                <w:iCs/>
              </w:rPr>
              <w:t xml:space="preserve"> przez podmioty IOB spoza regionu, w razie braku potencjału IOB w regionie?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Default="00C627E4" w:rsidP="00D469EA">
            <w:pPr>
              <w:pStyle w:val="Akapitzlist"/>
              <w:numPr>
                <w:ilvl w:val="0"/>
                <w:numId w:val="7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dokonano analizy otoczenia biznesowego – 0 pkt</w:t>
            </w:r>
          </w:p>
          <w:p w:rsidR="00C627E4" w:rsidRPr="002E5727" w:rsidRDefault="00C627E4" w:rsidP="00D469EA">
            <w:pPr>
              <w:pStyle w:val="Akapitzlist"/>
              <w:numPr>
                <w:ilvl w:val="0"/>
                <w:numId w:val="7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Istnieje niewielki potencjał IOB w regionie na potrzeby rozwoju IS</w:t>
            </w:r>
            <w:r w:rsidR="00B27FB9">
              <w:rPr>
                <w:rFonts w:eastAsia="Times New Roman" w:cstheme="minorHAnsi"/>
                <w:lang w:eastAsia="pl-PL"/>
              </w:rPr>
              <w:t xml:space="preserve"> lub usługi w tym zakresie mogą być świadczone przez podmioty IOB spoza regionu </w:t>
            </w:r>
            <w:r w:rsidRPr="002E5727">
              <w:rPr>
                <w:rFonts w:eastAsia="Times New Roman" w:cstheme="minorHAnsi"/>
                <w:lang w:eastAsia="pl-PL"/>
              </w:rPr>
              <w:t xml:space="preserve"> – 1 pkt</w:t>
            </w:r>
          </w:p>
          <w:p w:rsidR="00C627E4" w:rsidRPr="002E5727" w:rsidRDefault="00C627E4" w:rsidP="00D469EA">
            <w:pPr>
              <w:pStyle w:val="Akapitzlist"/>
              <w:numPr>
                <w:ilvl w:val="0"/>
                <w:numId w:val="7"/>
              </w:numPr>
              <w:spacing w:after="0"/>
              <w:ind w:left="358" w:right="238" w:hanging="284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Istnieje duży potencjał IOB w regionie na potrzeby rozwoju IS – 2 pkt</w:t>
            </w:r>
          </w:p>
        </w:tc>
      </w:tr>
      <w:tr w:rsidR="00C627E4" w:rsidRPr="002E5727" w:rsidTr="00D469EA">
        <w:trPr>
          <w:trHeight w:val="120"/>
        </w:trPr>
        <w:tc>
          <w:tcPr>
            <w:tcW w:w="16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2E5727" w:rsidTr="00D469EA">
        <w:trPr>
          <w:trHeight w:val="527"/>
        </w:trPr>
        <w:tc>
          <w:tcPr>
            <w:tcW w:w="1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2E5727" w:rsidTr="0069172E">
        <w:trPr>
          <w:trHeight w:val="295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727">
              <w:rPr>
                <w:sz w:val="22"/>
                <w:szCs w:val="22"/>
              </w:rPr>
              <w:t>Masa krytyczna oraz gotowość do absorpcji środków unijnych</w:t>
            </w:r>
            <w:r w:rsidRPr="002E5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69172E" w:rsidRDefault="00C627E4" w:rsidP="0069172E">
            <w:pPr>
              <w:spacing w:after="0"/>
              <w:ind w:left="73"/>
              <w:jc w:val="both"/>
              <w:rPr>
                <w:rFonts w:cstheme="minorHAnsi"/>
                <w:iCs/>
              </w:rPr>
            </w:pPr>
            <w:r w:rsidRPr="002E5727">
              <w:rPr>
                <w:rFonts w:eastAsia="Times New Roman" w:cstheme="minorHAnsi"/>
                <w:iCs/>
                <w:color w:val="000000"/>
              </w:rPr>
              <w:t>Ocenie podlegać będzie, czy d</w:t>
            </w:r>
            <w:r w:rsidRPr="002E5727">
              <w:rPr>
                <w:rFonts w:cstheme="minorHAnsi"/>
              </w:rPr>
              <w:t xml:space="preserve">okonano analizy masy krytycznej podmiotów funkcjonujących w obszarze IS tj. znaczenia proponowanej IS dla rozwoju gospodarczego regionu. Jak wiele przedsiębiorstw może skorzystać z działań wspierających IS? Jaki wpływ może mieć rozwój IS na edukację, produktywność, PKB, wskaźniki innowacyjności regionu itp.? Czy istnieje odpowiedni wolumen potencjalnych odbiorców środków finansowych w ramach funduszy unijnych? Czy podmioty posiadają wiedzę, doświadczenie oraz własne zasoby finansowe na potrzeby wkładu własnego dla inwestycji? </w:t>
            </w:r>
            <w:r w:rsidRPr="002E5727">
              <w:rPr>
                <w:rFonts w:cstheme="minorHAnsi"/>
                <w:iCs/>
              </w:rPr>
              <w:t>Czy przedsiębiorstwa są gotowe do wdrażania innowacji?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pStyle w:val="Akapitzlist"/>
              <w:numPr>
                <w:ilvl w:val="0"/>
                <w:numId w:val="20"/>
              </w:numPr>
              <w:spacing w:after="0"/>
              <w:ind w:left="367" w:right="238" w:hanging="283"/>
              <w:jc w:val="both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Brak analizy masy krytycznej lub brak odpowiedniej masy krytycznej mogącej wpłynąć na rozwój gospodarczy regionu – 0 pkt</w:t>
            </w:r>
          </w:p>
          <w:p w:rsidR="0069172E" w:rsidRDefault="00C627E4" w:rsidP="0069172E">
            <w:pPr>
              <w:pStyle w:val="Akapitzlist"/>
              <w:numPr>
                <w:ilvl w:val="0"/>
                <w:numId w:val="20"/>
              </w:numPr>
              <w:spacing w:after="0"/>
              <w:ind w:left="367" w:right="238" w:hanging="283"/>
              <w:jc w:val="both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Istnieje pewna masa krytyczna, która może nie być zdolna do  wdrożenia innowacyjnych działań w ramach IS – 1 pkt</w:t>
            </w:r>
          </w:p>
          <w:p w:rsidR="00C627E4" w:rsidRPr="0069172E" w:rsidRDefault="00C627E4" w:rsidP="0069172E">
            <w:pPr>
              <w:pStyle w:val="Akapitzlist"/>
              <w:numPr>
                <w:ilvl w:val="0"/>
                <w:numId w:val="20"/>
              </w:numPr>
              <w:spacing w:after="0"/>
              <w:ind w:left="367" w:right="238" w:hanging="283"/>
              <w:jc w:val="both"/>
              <w:rPr>
                <w:rFonts w:eastAsia="Times New Roman" w:cstheme="minorHAnsi"/>
                <w:lang w:eastAsia="pl-PL"/>
              </w:rPr>
            </w:pPr>
            <w:r w:rsidRPr="0069172E">
              <w:rPr>
                <w:rFonts w:eastAsia="Times New Roman" w:cstheme="minorHAnsi"/>
                <w:lang w:eastAsia="pl-PL"/>
              </w:rPr>
              <w:t>Istnieje odpowiednia masa krytyczna będąca w stanie wdrożyć innowacyjne działania w ramach IS – 3 pkt</w:t>
            </w:r>
          </w:p>
        </w:tc>
      </w:tr>
      <w:tr w:rsidR="00C627E4" w:rsidRPr="002E5727" w:rsidTr="00D469EA">
        <w:trPr>
          <w:trHeight w:val="114"/>
        </w:trPr>
        <w:tc>
          <w:tcPr>
            <w:tcW w:w="16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</w:p>
        </w:tc>
      </w:tr>
      <w:tr w:rsidR="00C627E4" w:rsidRPr="002E5727" w:rsidTr="00D469EA">
        <w:trPr>
          <w:trHeight w:val="527"/>
        </w:trPr>
        <w:tc>
          <w:tcPr>
            <w:tcW w:w="1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</w:p>
        </w:tc>
      </w:tr>
      <w:tr w:rsidR="00C627E4" w:rsidRPr="002E5727" w:rsidTr="00D469EA">
        <w:trPr>
          <w:trHeight w:val="210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5727">
              <w:rPr>
                <w:rFonts w:asciiTheme="minorHAnsi" w:hAnsiTheme="minorHAnsi" w:cstheme="minorHAnsi"/>
                <w:sz w:val="22"/>
                <w:szCs w:val="22"/>
              </w:rPr>
              <w:t>Zaangażowanie interesariuszy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spacing w:after="0"/>
              <w:ind w:left="73"/>
              <w:jc w:val="both"/>
              <w:rPr>
                <w:rFonts w:eastAsia="Times New Roman" w:cstheme="minorHAnsi"/>
              </w:rPr>
            </w:pPr>
            <w:r w:rsidRPr="002E5727">
              <w:rPr>
                <w:rFonts w:cstheme="minorHAnsi"/>
              </w:rPr>
              <w:t>Ocenie podlegać będzie, czy Program zawiera opis zrealizowanych działań animacyjnych (spotkań, warsztatów itp.) oraz ich efektów</w:t>
            </w:r>
            <w:r w:rsidRPr="002E5727">
              <w:rPr>
                <w:rFonts w:eastAsia="Times New Roman" w:cstheme="minorHAnsi"/>
              </w:rPr>
              <w:t>. Proces definiowania inteligentnych specjalizacji powinien angażować interesariuszy tzw. poczwórnej helisy tj. przedstawicieli biznesu, nauki, administracji oraz społeczeństwa. Czy wykazano wpływ interesariuszy na proces powstawania Programu Rozwoju?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2E5727" w:rsidRDefault="00C627E4" w:rsidP="00D469EA">
            <w:pPr>
              <w:pStyle w:val="Akapitzlist"/>
              <w:numPr>
                <w:ilvl w:val="0"/>
                <w:numId w:val="4"/>
              </w:numPr>
              <w:spacing w:after="0"/>
              <w:ind w:left="355" w:right="238" w:hanging="283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Brak zaangażowania interesariuszy - 0 pkt</w:t>
            </w:r>
          </w:p>
          <w:p w:rsidR="00C627E4" w:rsidRPr="002E5727" w:rsidRDefault="00C627E4" w:rsidP="00D469EA">
            <w:pPr>
              <w:pStyle w:val="Akapitzlist"/>
              <w:numPr>
                <w:ilvl w:val="0"/>
                <w:numId w:val="4"/>
              </w:numPr>
              <w:spacing w:after="0"/>
              <w:ind w:left="355" w:right="238" w:hanging="283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Zaangażowanie interesariuszy było umiarkowane – 1 pkt</w:t>
            </w:r>
          </w:p>
          <w:p w:rsidR="00C627E4" w:rsidRPr="00D74880" w:rsidRDefault="00C627E4" w:rsidP="00D469EA">
            <w:pPr>
              <w:pStyle w:val="Akapitzlist"/>
              <w:numPr>
                <w:ilvl w:val="0"/>
                <w:numId w:val="4"/>
              </w:numPr>
              <w:spacing w:after="0"/>
              <w:ind w:left="355" w:right="238" w:hanging="283"/>
              <w:rPr>
                <w:rFonts w:eastAsia="Times New Roman" w:cstheme="minorHAnsi"/>
                <w:lang w:eastAsia="pl-PL"/>
              </w:rPr>
            </w:pPr>
            <w:r w:rsidRPr="002E5727">
              <w:rPr>
                <w:rFonts w:eastAsia="Times New Roman" w:cstheme="minorHAnsi"/>
                <w:lang w:eastAsia="pl-PL"/>
              </w:rPr>
              <w:t>Zaangażowanie interesariuszy było znaczące - 3 pkt</w:t>
            </w:r>
          </w:p>
        </w:tc>
      </w:tr>
      <w:tr w:rsidR="00C627E4" w:rsidRPr="002E5727" w:rsidTr="00D469EA">
        <w:trPr>
          <w:trHeight w:val="1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A47620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2E5727" w:rsidTr="0069172E">
        <w:trPr>
          <w:trHeight w:val="52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2E5727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Default="00C627E4" w:rsidP="00D469EA">
            <w:pPr>
              <w:pStyle w:val="Akapitzlist"/>
              <w:spacing w:after="0"/>
              <w:ind w:left="358" w:right="23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C627E4" w:rsidRPr="00D74880" w:rsidTr="00D469EA">
        <w:trPr>
          <w:trHeight w:val="165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Pr="00D74880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7488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0">
              <w:rPr>
                <w:rFonts w:asciiTheme="minorHAnsi" w:hAnsiTheme="minorHAnsi" w:cstheme="minorHAnsi"/>
                <w:sz w:val="22"/>
                <w:szCs w:val="22"/>
              </w:rPr>
              <w:t>Plan Działań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74880" w:rsidRDefault="00C627E4" w:rsidP="00D469EA">
            <w:pPr>
              <w:spacing w:after="0"/>
              <w:ind w:left="141"/>
              <w:jc w:val="both"/>
              <w:rPr>
                <w:rFonts w:cstheme="minorHAnsi"/>
              </w:rPr>
            </w:pPr>
            <w:r w:rsidRPr="00D74880">
              <w:rPr>
                <w:rFonts w:eastAsia="Times New Roman" w:cstheme="minorHAnsi"/>
                <w:iCs/>
                <w:color w:val="000000"/>
              </w:rPr>
              <w:t>Ocenie podlegać będzie, czy do</w:t>
            </w:r>
            <w:r w:rsidRPr="00D74880">
              <w:rPr>
                <w:rFonts w:cstheme="minorHAnsi"/>
              </w:rPr>
              <w:t xml:space="preserve"> Programu Rozwoju załączony został Plan Działań, zawierający propozycje możliwych do zrealizowania inicjatyw przedsiębiorstw/ instytucji naukowych/IOB/administracji niezbędnych dla rozwoju IS wraz z harmonogramem czasowym. 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E4" w:rsidRPr="00D74880" w:rsidRDefault="00C627E4" w:rsidP="00D469EA">
            <w:pPr>
              <w:pStyle w:val="Akapitzlist"/>
              <w:numPr>
                <w:ilvl w:val="0"/>
                <w:numId w:val="2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D74880">
              <w:rPr>
                <w:rFonts w:eastAsia="Times New Roman" w:cstheme="minorHAnsi"/>
                <w:lang w:eastAsia="pl-PL"/>
              </w:rPr>
              <w:t>Brak Planu Działań IS  - 0 pkt</w:t>
            </w:r>
          </w:p>
          <w:p w:rsidR="00C627E4" w:rsidRPr="00D74880" w:rsidRDefault="00C627E4" w:rsidP="00D469EA">
            <w:pPr>
              <w:pStyle w:val="Akapitzlist"/>
              <w:numPr>
                <w:ilvl w:val="0"/>
                <w:numId w:val="2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D74880">
              <w:rPr>
                <w:rFonts w:eastAsia="Times New Roman" w:cstheme="minorHAnsi"/>
                <w:lang w:eastAsia="pl-PL"/>
              </w:rPr>
              <w:t>Przedstawiony Plan Działań w stopniu umiarkowanym uwzględnia potrzeby rozwoju IS – 2 pkt</w:t>
            </w:r>
          </w:p>
          <w:p w:rsidR="00C627E4" w:rsidRPr="0069172E" w:rsidRDefault="00C627E4" w:rsidP="00D469EA">
            <w:pPr>
              <w:pStyle w:val="Akapitzlist"/>
              <w:numPr>
                <w:ilvl w:val="0"/>
                <w:numId w:val="21"/>
              </w:numPr>
              <w:spacing w:after="0"/>
              <w:ind w:left="367" w:hanging="283"/>
              <w:rPr>
                <w:rFonts w:eastAsia="Times New Roman" w:cstheme="minorHAnsi"/>
                <w:lang w:eastAsia="pl-PL"/>
              </w:rPr>
            </w:pPr>
            <w:r w:rsidRPr="00D74880">
              <w:rPr>
                <w:rFonts w:eastAsia="Times New Roman" w:cstheme="minorHAnsi"/>
                <w:lang w:eastAsia="pl-PL"/>
              </w:rPr>
              <w:t>Przedstawiony Plan Działań w stopniu wystarczającym uwzględnia potrzeby rozwoju IS – 3 pkt</w:t>
            </w:r>
          </w:p>
        </w:tc>
      </w:tr>
      <w:tr w:rsidR="00C627E4" w:rsidRPr="00D74880" w:rsidTr="00D469EA">
        <w:trPr>
          <w:trHeight w:val="15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7E4" w:rsidRPr="00D7488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D74880" w:rsidRDefault="00C627E4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C627E4" w:rsidRPr="00D74880" w:rsidTr="00D469EA">
        <w:trPr>
          <w:trHeight w:val="50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27E4" w:rsidRDefault="00C627E4" w:rsidP="00D469EA">
            <w:pPr>
              <w:pStyle w:val="Tekstkomentarza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E4" w:rsidRPr="00D74880" w:rsidRDefault="00C627E4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7E4" w:rsidRPr="00D74880" w:rsidRDefault="00C627E4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  <w:tr w:rsidR="00D469EA" w:rsidRPr="00402481" w:rsidTr="00D469EA">
        <w:trPr>
          <w:trHeight w:val="189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880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880">
              <w:rPr>
                <w:rFonts w:asciiTheme="minorHAnsi" w:hAnsiTheme="minorHAnsi" w:cstheme="minorHAnsi"/>
                <w:sz w:val="22"/>
                <w:szCs w:val="22"/>
              </w:rPr>
              <w:t>Dane statystyczne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9EA" w:rsidRPr="00D74880" w:rsidRDefault="00D469EA" w:rsidP="00D469EA">
            <w:pPr>
              <w:pStyle w:val="Tekstkomentarza"/>
              <w:ind w:firstLine="0"/>
              <w:jc w:val="both"/>
              <w:rPr>
                <w:rFonts w:cstheme="minorHAnsi"/>
                <w:iCs/>
                <w:sz w:val="22"/>
                <w:szCs w:val="22"/>
              </w:rPr>
            </w:pPr>
            <w:r w:rsidRPr="00D74880">
              <w:rPr>
                <w:rFonts w:cstheme="minorHAnsi"/>
                <w:iCs/>
                <w:color w:val="000000"/>
                <w:sz w:val="22"/>
              </w:rPr>
              <w:t>Ocenie podlegać będzie, czy a</w:t>
            </w:r>
            <w:r w:rsidRPr="00D74880">
              <w:rPr>
                <w:rFonts w:cstheme="minorHAnsi"/>
                <w:iCs/>
                <w:sz w:val="22"/>
                <w:szCs w:val="22"/>
              </w:rPr>
              <w:t>nalizy oraz wnioski przedstawione w Programie Rozwoju poparte są wiarygodnymi danymi jakościowymi oraz ilościowymi (na podstawie załączonej do Programu diagnozy)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9EA" w:rsidRPr="003B4835" w:rsidRDefault="00D469EA" w:rsidP="0069172E">
            <w:pPr>
              <w:pStyle w:val="Akapitzlist"/>
              <w:numPr>
                <w:ilvl w:val="0"/>
                <w:numId w:val="7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3B4835">
              <w:rPr>
                <w:rFonts w:eastAsia="Times New Roman" w:cstheme="minorHAnsi"/>
                <w:lang w:eastAsia="pl-PL"/>
              </w:rPr>
              <w:t>Wnioski oraz analizy nie są poparte wiarygodnymi danymi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B4835"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3B4835">
              <w:rPr>
                <w:rFonts w:eastAsia="Times New Roman" w:cstheme="minorHAnsi"/>
                <w:lang w:eastAsia="pl-PL"/>
              </w:rPr>
              <w:t>0 pkt</w:t>
            </w:r>
          </w:p>
          <w:p w:rsidR="00D469EA" w:rsidRPr="003B4835" w:rsidRDefault="00D469EA" w:rsidP="0069172E">
            <w:pPr>
              <w:pStyle w:val="Akapitzlist"/>
              <w:numPr>
                <w:ilvl w:val="0"/>
                <w:numId w:val="7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3B4835">
              <w:rPr>
                <w:rFonts w:eastAsia="Times New Roman" w:cstheme="minorHAnsi"/>
                <w:lang w:eastAsia="pl-PL"/>
              </w:rPr>
              <w:t>Wnioski oraz analizy są częściowo poparte wiarygodnymi danymi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B4835">
              <w:rPr>
                <w:rFonts w:eastAsia="Times New Roman" w:cstheme="minorHAnsi"/>
                <w:lang w:eastAsia="pl-PL"/>
              </w:rPr>
              <w:t>– 2 pkt</w:t>
            </w:r>
          </w:p>
          <w:p w:rsidR="00D469EA" w:rsidRPr="0069172E" w:rsidRDefault="00D469EA" w:rsidP="00D469EA">
            <w:pPr>
              <w:pStyle w:val="Akapitzlist"/>
              <w:numPr>
                <w:ilvl w:val="0"/>
                <w:numId w:val="7"/>
              </w:numPr>
              <w:spacing w:after="0"/>
              <w:ind w:left="358" w:hanging="284"/>
              <w:rPr>
                <w:rFonts w:eastAsia="Times New Roman" w:cstheme="minorHAnsi"/>
                <w:lang w:eastAsia="pl-PL"/>
              </w:rPr>
            </w:pPr>
            <w:r w:rsidRPr="003B4835">
              <w:rPr>
                <w:rFonts w:eastAsia="Times New Roman" w:cstheme="minorHAnsi"/>
                <w:lang w:eastAsia="pl-PL"/>
              </w:rPr>
              <w:t>Większość wniosków oraz analiz popartych jest wiarygodnymi danymi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B4835">
              <w:rPr>
                <w:rFonts w:eastAsia="Times New Roman" w:cstheme="minorHAnsi"/>
                <w:lang w:eastAsia="pl-PL"/>
              </w:rPr>
              <w:t>– 3 pkt</w:t>
            </w:r>
          </w:p>
        </w:tc>
      </w:tr>
      <w:tr w:rsidR="00D469EA" w:rsidRPr="00402481" w:rsidTr="006F1FB8">
        <w:trPr>
          <w:trHeight w:val="150"/>
        </w:trPr>
        <w:tc>
          <w:tcPr>
            <w:tcW w:w="16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469EA" w:rsidRPr="00D74880" w:rsidRDefault="00D469EA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Ocena punktowa ekspercka:</w:t>
            </w:r>
          </w:p>
        </w:tc>
      </w:tr>
      <w:tr w:rsidR="00D469EA" w:rsidRPr="00402481" w:rsidTr="00D469EA">
        <w:trPr>
          <w:trHeight w:val="468"/>
        </w:trPr>
        <w:tc>
          <w:tcPr>
            <w:tcW w:w="1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EA" w:rsidRPr="00D74880" w:rsidRDefault="00D469EA" w:rsidP="00D469EA">
            <w:pPr>
              <w:pStyle w:val="Tekstkomentarza"/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469EA" w:rsidRPr="00D74880" w:rsidRDefault="00D469EA" w:rsidP="00D469EA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Uzasadnienie przyznanej oceny:</w:t>
            </w:r>
          </w:p>
        </w:tc>
      </w:tr>
    </w:tbl>
    <w:p w:rsidR="00856784" w:rsidRPr="009610E8" w:rsidRDefault="00402481" w:rsidP="009610E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483585">
        <w:rPr>
          <w:rFonts w:ascii="Arial" w:eastAsia="Times New Roman" w:hAnsi="Arial" w:cs="Arial"/>
          <w:lang w:eastAsia="pl-PL"/>
        </w:rPr>
        <w:tab/>
      </w:r>
    </w:p>
    <w:sectPr w:rsidR="00856784" w:rsidRPr="009610E8" w:rsidSect="0080549E">
      <w:footerReference w:type="default" r:id="rId10"/>
      <w:pgSz w:w="16838" w:h="11906" w:orient="landscape"/>
      <w:pgMar w:top="1135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E0" w:rsidRDefault="008E09E0" w:rsidP="009E4C7E">
      <w:pPr>
        <w:spacing w:after="0" w:line="240" w:lineRule="auto"/>
      </w:pPr>
      <w:r>
        <w:separator/>
      </w:r>
    </w:p>
  </w:endnote>
  <w:endnote w:type="continuationSeparator" w:id="0">
    <w:p w:rsidR="008E09E0" w:rsidRDefault="008E09E0" w:rsidP="009E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460496"/>
      <w:docPartObj>
        <w:docPartGallery w:val="Page Numbers (Bottom of Page)"/>
        <w:docPartUnique/>
      </w:docPartObj>
    </w:sdtPr>
    <w:sdtEndPr/>
    <w:sdtContent>
      <w:p w:rsidR="00963FA8" w:rsidRDefault="006B313A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78280" cy="1099820"/>
                  <wp:effectExtent l="1905" t="6985" r="5715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8280" cy="10998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344" w:rsidRPr="00B74344" w:rsidRDefault="00B74344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74344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7434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74344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27FB9" w:rsidRPr="00B27FB9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74344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8" type="#_x0000_t5" style="position:absolute;margin-left:65.2pt;margin-top:0;width:116.4pt;height:8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" adj="21600" fillcolor="#d2eaf1" stroked="f">
                  <v:textbox>
                    <w:txbxContent>
                      <w:p w:rsidR="00B74344" w:rsidRPr="00B74344" w:rsidRDefault="00B74344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74344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74344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74344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B27FB9" w:rsidRPr="00B27FB9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74344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E0" w:rsidRDefault="008E09E0" w:rsidP="009E4C7E">
      <w:pPr>
        <w:spacing w:after="0" w:line="240" w:lineRule="auto"/>
      </w:pPr>
      <w:r>
        <w:separator/>
      </w:r>
    </w:p>
  </w:footnote>
  <w:footnote w:type="continuationSeparator" w:id="0">
    <w:p w:rsidR="008E09E0" w:rsidRDefault="008E09E0" w:rsidP="009E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F9C"/>
    <w:multiLevelType w:val="hybridMultilevel"/>
    <w:tmpl w:val="F678F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3E9B"/>
    <w:multiLevelType w:val="hybridMultilevel"/>
    <w:tmpl w:val="0FCC43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471"/>
    <w:multiLevelType w:val="hybridMultilevel"/>
    <w:tmpl w:val="1CE6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5EF"/>
    <w:multiLevelType w:val="hybridMultilevel"/>
    <w:tmpl w:val="EB04B5AC"/>
    <w:lvl w:ilvl="0" w:tplc="327666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3383"/>
    <w:multiLevelType w:val="hybridMultilevel"/>
    <w:tmpl w:val="B47ED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598"/>
    <w:multiLevelType w:val="hybridMultilevel"/>
    <w:tmpl w:val="D9F4E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4224"/>
    <w:multiLevelType w:val="hybridMultilevel"/>
    <w:tmpl w:val="260E3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AE4"/>
    <w:multiLevelType w:val="hybridMultilevel"/>
    <w:tmpl w:val="C7966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F06D7"/>
    <w:multiLevelType w:val="hybridMultilevel"/>
    <w:tmpl w:val="2B4EDA32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0BE0C4E"/>
    <w:multiLevelType w:val="hybridMultilevel"/>
    <w:tmpl w:val="5DE0B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0BD3"/>
    <w:multiLevelType w:val="hybridMultilevel"/>
    <w:tmpl w:val="B24C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0167"/>
    <w:multiLevelType w:val="hybridMultilevel"/>
    <w:tmpl w:val="FE84D76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51BD0"/>
    <w:multiLevelType w:val="hybridMultilevel"/>
    <w:tmpl w:val="3EF6D7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527B31"/>
    <w:multiLevelType w:val="hybridMultilevel"/>
    <w:tmpl w:val="BE3EF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070F8"/>
    <w:multiLevelType w:val="hybridMultilevel"/>
    <w:tmpl w:val="655CF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33E"/>
    <w:multiLevelType w:val="hybridMultilevel"/>
    <w:tmpl w:val="C138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063DE"/>
    <w:multiLevelType w:val="hybridMultilevel"/>
    <w:tmpl w:val="17707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822E6"/>
    <w:multiLevelType w:val="hybridMultilevel"/>
    <w:tmpl w:val="2FFE9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3F18"/>
    <w:multiLevelType w:val="hybridMultilevel"/>
    <w:tmpl w:val="86260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59AA"/>
    <w:multiLevelType w:val="hybridMultilevel"/>
    <w:tmpl w:val="4A088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57EE9"/>
    <w:multiLevelType w:val="hybridMultilevel"/>
    <w:tmpl w:val="13867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8"/>
  </w:num>
  <w:num w:numId="5">
    <w:abstractNumId w:val="17"/>
  </w:num>
  <w:num w:numId="6">
    <w:abstractNumId w:val="11"/>
  </w:num>
  <w:num w:numId="7">
    <w:abstractNumId w:val="19"/>
  </w:num>
  <w:num w:numId="8">
    <w:abstractNumId w:val="20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81"/>
    <w:rsid w:val="000157EF"/>
    <w:rsid w:val="00023C05"/>
    <w:rsid w:val="00025CE3"/>
    <w:rsid w:val="00035771"/>
    <w:rsid w:val="00085AD2"/>
    <w:rsid w:val="00095333"/>
    <w:rsid w:val="000C3312"/>
    <w:rsid w:val="000C59DC"/>
    <w:rsid w:val="001C521A"/>
    <w:rsid w:val="0024515D"/>
    <w:rsid w:val="00295A4F"/>
    <w:rsid w:val="002E5727"/>
    <w:rsid w:val="002F3368"/>
    <w:rsid w:val="0032758B"/>
    <w:rsid w:val="00360B1E"/>
    <w:rsid w:val="00362C43"/>
    <w:rsid w:val="00373E24"/>
    <w:rsid w:val="0038786D"/>
    <w:rsid w:val="003B4835"/>
    <w:rsid w:val="003E7A00"/>
    <w:rsid w:val="00402481"/>
    <w:rsid w:val="00420A38"/>
    <w:rsid w:val="00422A07"/>
    <w:rsid w:val="0044111A"/>
    <w:rsid w:val="00451054"/>
    <w:rsid w:val="00457BD2"/>
    <w:rsid w:val="00473BAF"/>
    <w:rsid w:val="00483585"/>
    <w:rsid w:val="004A4913"/>
    <w:rsid w:val="004F2C72"/>
    <w:rsid w:val="00506F13"/>
    <w:rsid w:val="00520C07"/>
    <w:rsid w:val="005E47A5"/>
    <w:rsid w:val="005F0887"/>
    <w:rsid w:val="005F277E"/>
    <w:rsid w:val="005F3F81"/>
    <w:rsid w:val="00600B68"/>
    <w:rsid w:val="00665CE6"/>
    <w:rsid w:val="0069172E"/>
    <w:rsid w:val="00692AC3"/>
    <w:rsid w:val="006B313A"/>
    <w:rsid w:val="006F1105"/>
    <w:rsid w:val="00710AFB"/>
    <w:rsid w:val="0079213D"/>
    <w:rsid w:val="007B53A4"/>
    <w:rsid w:val="007E6058"/>
    <w:rsid w:val="0080549E"/>
    <w:rsid w:val="00856784"/>
    <w:rsid w:val="00860849"/>
    <w:rsid w:val="00892B2C"/>
    <w:rsid w:val="008C4190"/>
    <w:rsid w:val="008C6E8E"/>
    <w:rsid w:val="008E09E0"/>
    <w:rsid w:val="009033D5"/>
    <w:rsid w:val="00910579"/>
    <w:rsid w:val="009610E8"/>
    <w:rsid w:val="009631D0"/>
    <w:rsid w:val="00963FA8"/>
    <w:rsid w:val="009676C0"/>
    <w:rsid w:val="0098124F"/>
    <w:rsid w:val="009E4C7E"/>
    <w:rsid w:val="009E4E41"/>
    <w:rsid w:val="009F12AB"/>
    <w:rsid w:val="00A47620"/>
    <w:rsid w:val="00A717DB"/>
    <w:rsid w:val="00AE2754"/>
    <w:rsid w:val="00B00684"/>
    <w:rsid w:val="00B27FB9"/>
    <w:rsid w:val="00B528DC"/>
    <w:rsid w:val="00B718C7"/>
    <w:rsid w:val="00B74344"/>
    <w:rsid w:val="00B96281"/>
    <w:rsid w:val="00C55D35"/>
    <w:rsid w:val="00C627E4"/>
    <w:rsid w:val="00C90F8A"/>
    <w:rsid w:val="00C931C4"/>
    <w:rsid w:val="00CC6873"/>
    <w:rsid w:val="00CC6FE1"/>
    <w:rsid w:val="00D461CA"/>
    <w:rsid w:val="00D469EA"/>
    <w:rsid w:val="00D524BE"/>
    <w:rsid w:val="00D74880"/>
    <w:rsid w:val="00DB2DC4"/>
    <w:rsid w:val="00DD63B4"/>
    <w:rsid w:val="00DE6A2F"/>
    <w:rsid w:val="00DF4969"/>
    <w:rsid w:val="00DF778C"/>
    <w:rsid w:val="00E14C00"/>
    <w:rsid w:val="00E4391C"/>
    <w:rsid w:val="00E810D7"/>
    <w:rsid w:val="00ED784B"/>
    <w:rsid w:val="00F050CB"/>
    <w:rsid w:val="00F30AB4"/>
    <w:rsid w:val="00F43B31"/>
    <w:rsid w:val="00F76193"/>
    <w:rsid w:val="00F9109F"/>
    <w:rsid w:val="00FA7E88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01C91-9B37-4F64-B765-9B032EE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40248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7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1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59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0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0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0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FA8"/>
  </w:style>
  <w:style w:type="paragraph" w:styleId="Stopka">
    <w:name w:val="footer"/>
    <w:basedOn w:val="Normalny"/>
    <w:link w:val="StopkaZnak"/>
    <w:uiPriority w:val="99"/>
    <w:unhideWhenUsed/>
    <w:rsid w:val="009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FA8"/>
  </w:style>
  <w:style w:type="paragraph" w:styleId="Tekstkomentarza">
    <w:name w:val="annotation text"/>
    <w:basedOn w:val="Normalny"/>
    <w:link w:val="TekstkomentarzaZnak"/>
    <w:uiPriority w:val="99"/>
    <w:rsid w:val="00E810D7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0D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6E93-F404-4831-B6AE-506688F0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g.zenkner</dc:creator>
  <cp:keywords/>
  <dc:description/>
  <cp:lastModifiedBy>Dariusz Blasi-Rzeczkowski</cp:lastModifiedBy>
  <cp:revision>6</cp:revision>
  <cp:lastPrinted>2019-10-03T12:43:00Z</cp:lastPrinted>
  <dcterms:created xsi:type="dcterms:W3CDTF">2019-10-03T12:36:00Z</dcterms:created>
  <dcterms:modified xsi:type="dcterms:W3CDTF">2019-10-10T11:31:00Z</dcterms:modified>
</cp:coreProperties>
</file>